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17" w:rsidRPr="00727418" w:rsidRDefault="00F94817" w:rsidP="00F94817">
      <w:pPr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 xml:space="preserve">ИЗВЕЩЕНИЕ </w:t>
      </w:r>
    </w:p>
    <w:p w:rsidR="00F94817" w:rsidRPr="00727418" w:rsidRDefault="00F94817" w:rsidP="00F94817">
      <w:pPr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 xml:space="preserve">о проведении торгов по продаже муниципального недвижимого имущества </w:t>
      </w: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Гулькевичского района</w:t>
      </w:r>
      <w:r w:rsidRPr="00727418">
        <w:rPr>
          <w:b/>
          <w:sz w:val="28"/>
          <w:szCs w:val="28"/>
        </w:rPr>
        <w:t xml:space="preserve"> посредством публичного предложения в электронной форме</w:t>
      </w:r>
    </w:p>
    <w:p w:rsidR="00F94817" w:rsidRPr="00727418" w:rsidRDefault="00F94817" w:rsidP="00F94817">
      <w:pPr>
        <w:jc w:val="both"/>
        <w:rPr>
          <w:sz w:val="28"/>
          <w:szCs w:val="28"/>
        </w:rPr>
      </w:pPr>
    </w:p>
    <w:p w:rsidR="00F94817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727418">
        <w:rPr>
          <w:sz w:val="28"/>
          <w:szCs w:val="28"/>
        </w:rPr>
        <w:t xml:space="preserve"> объявляет о продаже </w:t>
      </w:r>
      <w:r>
        <w:rPr>
          <w:sz w:val="28"/>
          <w:szCs w:val="28"/>
        </w:rPr>
        <w:t xml:space="preserve">следующего </w:t>
      </w:r>
      <w:r w:rsidRPr="00727418">
        <w:rPr>
          <w:sz w:val="28"/>
          <w:szCs w:val="28"/>
        </w:rPr>
        <w:t>муниципального недвижимого имущества посредством публичного предложения в электронной форме:</w:t>
      </w:r>
    </w:p>
    <w:p w:rsidR="007907B7" w:rsidRDefault="007907B7" w:rsidP="00F108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Pr="005B04F1">
        <w:rPr>
          <w:sz w:val="28"/>
          <w:szCs w:val="28"/>
        </w:rPr>
        <w:t xml:space="preserve">объект незавершенного строительства (степень готовности 30%), общей площадью 152,1 </w:t>
      </w:r>
      <w:proofErr w:type="spellStart"/>
      <w:r w:rsidRPr="005B04F1">
        <w:rPr>
          <w:sz w:val="28"/>
          <w:szCs w:val="28"/>
        </w:rPr>
        <w:t>кв.м</w:t>
      </w:r>
      <w:proofErr w:type="spellEnd"/>
      <w:r w:rsidRPr="005B04F1">
        <w:rPr>
          <w:sz w:val="28"/>
          <w:szCs w:val="28"/>
        </w:rPr>
        <w:t xml:space="preserve">., расположенный по адресу: Краснодарский край, Гулькевичский район, </w:t>
      </w:r>
      <w:proofErr w:type="spellStart"/>
      <w:r w:rsidRPr="005B04F1">
        <w:rPr>
          <w:sz w:val="28"/>
          <w:szCs w:val="28"/>
        </w:rPr>
        <w:t>пос</w:t>
      </w:r>
      <w:proofErr w:type="gramStart"/>
      <w:r w:rsidRPr="005B04F1">
        <w:rPr>
          <w:sz w:val="28"/>
          <w:szCs w:val="28"/>
        </w:rPr>
        <w:t>.В</w:t>
      </w:r>
      <w:proofErr w:type="gramEnd"/>
      <w:r w:rsidRPr="005B04F1">
        <w:rPr>
          <w:sz w:val="28"/>
          <w:szCs w:val="28"/>
        </w:rPr>
        <w:t>енцы</w:t>
      </w:r>
      <w:proofErr w:type="spellEnd"/>
      <w:r w:rsidRPr="005B04F1">
        <w:rPr>
          <w:sz w:val="28"/>
          <w:szCs w:val="28"/>
        </w:rPr>
        <w:t xml:space="preserve">, </w:t>
      </w:r>
      <w:proofErr w:type="spellStart"/>
      <w:r w:rsidRPr="005B04F1">
        <w:rPr>
          <w:sz w:val="28"/>
          <w:szCs w:val="28"/>
        </w:rPr>
        <w:t>ул.Советская</w:t>
      </w:r>
      <w:proofErr w:type="spellEnd"/>
      <w:r w:rsidRPr="005B04F1">
        <w:rPr>
          <w:sz w:val="28"/>
          <w:szCs w:val="28"/>
        </w:rPr>
        <w:t xml:space="preserve">, д.5А, кадастровый номер 23:06:0602013:462 и земельный участок, площадью 989 </w:t>
      </w:r>
      <w:proofErr w:type="spellStart"/>
      <w:r w:rsidRPr="005B04F1">
        <w:rPr>
          <w:sz w:val="28"/>
          <w:szCs w:val="28"/>
        </w:rPr>
        <w:t>кв.м</w:t>
      </w:r>
      <w:proofErr w:type="spellEnd"/>
      <w:r w:rsidRPr="005B04F1">
        <w:rPr>
          <w:sz w:val="28"/>
          <w:szCs w:val="28"/>
        </w:rPr>
        <w:t xml:space="preserve">. с кадастровым номером 23:06:0602013:28, расположенный по адресу: местоположение установлено относительно ориентира, расположенного за пределами участка. Ориентир </w:t>
      </w:r>
      <w:proofErr w:type="spellStart"/>
      <w:r w:rsidRPr="005B04F1">
        <w:rPr>
          <w:sz w:val="28"/>
          <w:szCs w:val="28"/>
        </w:rPr>
        <w:t>п</w:t>
      </w:r>
      <w:proofErr w:type="gramStart"/>
      <w:r w:rsidRPr="005B04F1">
        <w:rPr>
          <w:sz w:val="28"/>
          <w:szCs w:val="28"/>
        </w:rPr>
        <w:t>.В</w:t>
      </w:r>
      <w:proofErr w:type="gramEnd"/>
      <w:r w:rsidRPr="005B04F1">
        <w:rPr>
          <w:sz w:val="28"/>
          <w:szCs w:val="28"/>
        </w:rPr>
        <w:t>енцы</w:t>
      </w:r>
      <w:proofErr w:type="spellEnd"/>
      <w:r w:rsidRPr="005B04F1">
        <w:rPr>
          <w:sz w:val="28"/>
          <w:szCs w:val="28"/>
        </w:rPr>
        <w:t xml:space="preserve">, пересечение улиц  Красная и Советская. Участок находится примерно в 200 м, по направлению на юг от ориентира. Почтовый адрес ориентира:  край Краснодарский, р-н Гулькевичский, с/п Венцы-Заря </w:t>
      </w:r>
      <w:proofErr w:type="spellStart"/>
      <w:r w:rsidRPr="005B04F1">
        <w:rPr>
          <w:sz w:val="28"/>
          <w:szCs w:val="28"/>
        </w:rPr>
        <w:t>пос</w:t>
      </w:r>
      <w:proofErr w:type="gramStart"/>
      <w:r w:rsidRPr="005B04F1">
        <w:rPr>
          <w:sz w:val="28"/>
          <w:szCs w:val="28"/>
        </w:rPr>
        <w:t>.В</w:t>
      </w:r>
      <w:proofErr w:type="gramEnd"/>
      <w:r w:rsidRPr="005B04F1">
        <w:rPr>
          <w:sz w:val="28"/>
          <w:szCs w:val="28"/>
        </w:rPr>
        <w:t>енцы</w:t>
      </w:r>
      <w:proofErr w:type="spellEnd"/>
      <w:r w:rsidRPr="005B04F1">
        <w:rPr>
          <w:sz w:val="28"/>
          <w:szCs w:val="28"/>
        </w:rPr>
        <w:t>, пересечение улиц Красная и Советская, категория земель – земли населенных пунктов, разрешенное использование – для строительства здания кафе и магазина.</w:t>
      </w:r>
    </w:p>
    <w:p w:rsidR="00B42D23" w:rsidRDefault="007907B7" w:rsidP="00B4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постановление 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от </w:t>
      </w:r>
      <w:r w:rsidR="001F1024">
        <w:rPr>
          <w:sz w:val="28"/>
          <w:szCs w:val="28"/>
        </w:rPr>
        <w:t xml:space="preserve">27 </w:t>
      </w:r>
      <w:r w:rsidRPr="00F108A4">
        <w:rPr>
          <w:sz w:val="28"/>
          <w:szCs w:val="28"/>
        </w:rPr>
        <w:t xml:space="preserve">октября 2023 </w:t>
      </w:r>
      <w:r>
        <w:rPr>
          <w:sz w:val="28"/>
          <w:szCs w:val="28"/>
        </w:rPr>
        <w:t>года</w:t>
      </w:r>
      <w:r w:rsidR="00B42D23">
        <w:rPr>
          <w:sz w:val="28"/>
          <w:szCs w:val="28"/>
        </w:rPr>
        <w:t xml:space="preserve"> </w:t>
      </w:r>
      <w:r w:rsidR="00B42D23" w:rsidRPr="00F108A4">
        <w:rPr>
          <w:sz w:val="28"/>
          <w:szCs w:val="28"/>
        </w:rPr>
        <w:t>№</w:t>
      </w:r>
      <w:r w:rsidR="00F108A4">
        <w:rPr>
          <w:sz w:val="28"/>
          <w:szCs w:val="28"/>
        </w:rPr>
        <w:t xml:space="preserve"> </w:t>
      </w:r>
      <w:r w:rsidR="00F108A4" w:rsidRPr="00F108A4">
        <w:rPr>
          <w:sz w:val="28"/>
          <w:szCs w:val="28"/>
        </w:rPr>
        <w:t>8</w:t>
      </w:r>
      <w:r w:rsidR="00B42D23" w:rsidRPr="00F108A4">
        <w:rPr>
          <w:sz w:val="28"/>
          <w:szCs w:val="28"/>
        </w:rPr>
        <w:t xml:space="preserve">6 </w:t>
      </w:r>
      <w:r w:rsidR="00B42D23">
        <w:rPr>
          <w:sz w:val="28"/>
          <w:szCs w:val="28"/>
        </w:rPr>
        <w:t xml:space="preserve">«Об </w:t>
      </w:r>
      <w:r w:rsidR="00B42D23" w:rsidRPr="00F04DC7">
        <w:rPr>
          <w:sz w:val="28"/>
          <w:szCs w:val="28"/>
        </w:rPr>
        <w:t>условиях приватизации недвижимого имущества сельского поселения Венцы-Заря Гулькевичского района посредством публичного предложения</w:t>
      </w:r>
      <w:r w:rsidR="00B42D23">
        <w:rPr>
          <w:sz w:val="28"/>
          <w:szCs w:val="28"/>
        </w:rPr>
        <w:t>».</w:t>
      </w:r>
    </w:p>
    <w:p w:rsidR="00F94817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Продажа посредством публичного предложения в электронной форме будет проводиться на электронной торговой площадке АО «Сбербанк-АСТ», владеющего сайтом http://utp.sberbank-ast.ru в информационно-телекоммуникационной сети «Интернет».</w:t>
      </w:r>
    </w:p>
    <w:p w:rsidR="00B42D23" w:rsidRPr="00727418" w:rsidRDefault="00B42D23" w:rsidP="00B42D23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электронной торговой площадки АО «Сбербанк-АСТ» http://utp.sberbank-ast.ru/.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2A5324">
        <w:rPr>
          <w:sz w:val="28"/>
          <w:szCs w:val="28"/>
        </w:rPr>
        <w:t xml:space="preserve">Цена первоначального предложения </w:t>
      </w:r>
      <w:r w:rsidR="00B42D23">
        <w:rPr>
          <w:sz w:val="28"/>
          <w:szCs w:val="28"/>
        </w:rPr>
        <w:t xml:space="preserve">лота </w:t>
      </w:r>
      <w:r w:rsidRPr="00727418">
        <w:rPr>
          <w:sz w:val="28"/>
          <w:szCs w:val="28"/>
        </w:rPr>
        <w:t xml:space="preserve">установлена в размере начальной цены, указанной в информационном сообщении от </w:t>
      </w:r>
      <w:r w:rsidR="00B42D2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27418">
        <w:rPr>
          <w:sz w:val="28"/>
          <w:szCs w:val="28"/>
        </w:rPr>
        <w:t xml:space="preserve"> </w:t>
      </w:r>
      <w:r w:rsidR="00B42D23">
        <w:rPr>
          <w:sz w:val="28"/>
          <w:szCs w:val="28"/>
        </w:rPr>
        <w:t>сентября</w:t>
      </w:r>
      <w:r w:rsidRPr="00727418">
        <w:rPr>
          <w:sz w:val="28"/>
          <w:szCs w:val="28"/>
        </w:rPr>
        <w:t xml:space="preserve"> 202</w:t>
      </w:r>
      <w:r w:rsidR="00B42D23">
        <w:rPr>
          <w:sz w:val="28"/>
          <w:szCs w:val="28"/>
        </w:rPr>
        <w:t>3</w:t>
      </w:r>
      <w:r w:rsidRPr="00727418">
        <w:rPr>
          <w:sz w:val="28"/>
          <w:szCs w:val="28"/>
        </w:rPr>
        <w:t xml:space="preserve"> г</w:t>
      </w:r>
      <w:r w:rsidR="00B42D23">
        <w:rPr>
          <w:sz w:val="28"/>
          <w:szCs w:val="28"/>
        </w:rPr>
        <w:t>ода</w:t>
      </w:r>
      <w:r w:rsidRPr="00727418">
        <w:rPr>
          <w:sz w:val="28"/>
          <w:szCs w:val="28"/>
        </w:rPr>
        <w:t xml:space="preserve"> о продаже имущества на аукционе, в электронной форме, который был признан несостоявшимся:</w:t>
      </w:r>
    </w:p>
    <w:p w:rsidR="00B42D23" w:rsidRPr="00B42D23" w:rsidRDefault="00B42D23" w:rsidP="00B42D23">
      <w:pPr>
        <w:ind w:firstLine="708"/>
        <w:jc w:val="both"/>
        <w:rPr>
          <w:sz w:val="28"/>
          <w:szCs w:val="28"/>
        </w:rPr>
      </w:pPr>
      <w:r w:rsidRPr="00B42D23">
        <w:rPr>
          <w:sz w:val="28"/>
          <w:szCs w:val="28"/>
        </w:rPr>
        <w:t xml:space="preserve">лот № 1 в размере  в размере 472000,00 (четыреста семьдесят две тысячи) рублей 00 копеек с учетом НДС </w:t>
      </w:r>
    </w:p>
    <w:p w:rsidR="00F94817" w:rsidRPr="00F04DC7" w:rsidRDefault="00F94817" w:rsidP="00B4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4DC7">
        <w:rPr>
          <w:sz w:val="28"/>
          <w:szCs w:val="28"/>
        </w:rPr>
        <w:t>еличин</w:t>
      </w:r>
      <w:r>
        <w:rPr>
          <w:sz w:val="28"/>
          <w:szCs w:val="28"/>
        </w:rPr>
        <w:t>а</w:t>
      </w:r>
      <w:r w:rsidRPr="00F04DC7">
        <w:rPr>
          <w:sz w:val="28"/>
          <w:szCs w:val="28"/>
        </w:rPr>
        <w:t xml:space="preserve"> снижения цены первоначального предложения («шаг понижения») – 10 % от цены первоначального предложения: </w:t>
      </w:r>
    </w:p>
    <w:p w:rsidR="00B42D23" w:rsidRPr="00751B75" w:rsidRDefault="00B42D23" w:rsidP="00B42D23">
      <w:pPr>
        <w:ind w:firstLine="708"/>
        <w:jc w:val="both"/>
        <w:rPr>
          <w:sz w:val="28"/>
          <w:szCs w:val="28"/>
        </w:rPr>
      </w:pPr>
      <w:r w:rsidRPr="00751B75">
        <w:rPr>
          <w:sz w:val="28"/>
          <w:szCs w:val="28"/>
        </w:rPr>
        <w:t>47200 (сорок семь тысяч двести) рублей.</w:t>
      </w:r>
    </w:p>
    <w:p w:rsidR="00F94817" w:rsidRDefault="00F94817" w:rsidP="00F94817">
      <w:pPr>
        <w:ind w:firstLine="708"/>
        <w:rPr>
          <w:sz w:val="28"/>
        </w:rPr>
      </w:pPr>
      <w:r w:rsidRPr="00F04DC7">
        <w:rPr>
          <w:sz w:val="28"/>
          <w:szCs w:val="28"/>
        </w:rPr>
        <w:t>Величина повышения цены</w:t>
      </w:r>
      <w:r w:rsidRPr="00727418">
        <w:rPr>
          <w:sz w:val="28"/>
        </w:rPr>
        <w:t xml:space="preserve"> предложения («шаг аукциона») – 50 % от «шага понижения»: </w:t>
      </w:r>
    </w:p>
    <w:p w:rsidR="00751B75" w:rsidRPr="00751B75" w:rsidRDefault="006351E2" w:rsidP="00751B7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23600</w:t>
      </w:r>
      <w:r w:rsidR="00751B75" w:rsidRPr="00751B75">
        <w:rPr>
          <w:sz w:val="28"/>
          <w:szCs w:val="28"/>
        </w:rPr>
        <w:t xml:space="preserve"> (двадцать три тысячи шестьсот) рублей</w:t>
      </w:r>
      <w:bookmarkStart w:id="0" w:name="_GoBack"/>
      <w:bookmarkEnd w:id="0"/>
      <w:r w:rsidR="00751B75" w:rsidRPr="00751B7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51B75" w:rsidRPr="00751B75">
        <w:rPr>
          <w:sz w:val="28"/>
          <w:szCs w:val="28"/>
        </w:rPr>
        <w:t>0 копеек.</w:t>
      </w:r>
    </w:p>
    <w:p w:rsidR="00F94817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lastRenderedPageBreak/>
        <w:t>Минимальная цена предложения, по которой может быть продано движимое имущество (цену отсечения) – 50 % от цены первоначального предложения:</w:t>
      </w:r>
    </w:p>
    <w:p w:rsidR="00751B75" w:rsidRPr="00751B75" w:rsidRDefault="00751B75" w:rsidP="00751B75">
      <w:pPr>
        <w:widowControl w:val="0"/>
        <w:ind w:firstLine="708"/>
        <w:jc w:val="both"/>
        <w:rPr>
          <w:sz w:val="28"/>
          <w:szCs w:val="28"/>
        </w:rPr>
      </w:pPr>
      <w:r w:rsidRPr="00751B75">
        <w:rPr>
          <w:sz w:val="28"/>
          <w:szCs w:val="28"/>
        </w:rPr>
        <w:t>236000,00  (двести тридцать шесть тысяч) рублей 00 копеек.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proofErr w:type="gramStart"/>
      <w:r w:rsidRPr="00727418">
        <w:rPr>
          <w:sz w:val="28"/>
          <w:szCs w:val="28"/>
        </w:rPr>
        <w:t xml:space="preserve">Задаток перечисляется оператору электронной торговой площадки акционерного общества «Сбербанк-Автоматизированная система торгов» (далее – АО «Сбербанк-АСТ») на счет, указанный в электронной ссылке http://utp.sberbank-ast.ru/AP/Notice/653/Requisites, не позднее </w:t>
      </w:r>
      <w:r w:rsidR="00751B75">
        <w:rPr>
          <w:sz w:val="28"/>
          <w:szCs w:val="28"/>
        </w:rPr>
        <w:t>27 ноябр</w:t>
      </w:r>
      <w:r>
        <w:rPr>
          <w:sz w:val="28"/>
          <w:szCs w:val="28"/>
        </w:rPr>
        <w:t>я</w:t>
      </w:r>
      <w:r w:rsidRPr="00727418">
        <w:rPr>
          <w:sz w:val="28"/>
          <w:szCs w:val="28"/>
        </w:rPr>
        <w:t xml:space="preserve"> 202</w:t>
      </w:r>
      <w:r w:rsidR="00751B75">
        <w:rPr>
          <w:sz w:val="28"/>
          <w:szCs w:val="28"/>
        </w:rPr>
        <w:t>3</w:t>
      </w:r>
      <w:r w:rsidRPr="00727418">
        <w:rPr>
          <w:sz w:val="28"/>
          <w:szCs w:val="28"/>
        </w:rPr>
        <w:t xml:space="preserve"> г. в размере </w:t>
      </w:r>
      <w:r w:rsidR="00751B75">
        <w:rPr>
          <w:sz w:val="28"/>
          <w:szCs w:val="28"/>
        </w:rPr>
        <w:t>1</w:t>
      </w:r>
      <w:r w:rsidRPr="00727418">
        <w:rPr>
          <w:sz w:val="28"/>
          <w:szCs w:val="28"/>
        </w:rPr>
        <w:t xml:space="preserve">0 % от начальной цены, указанной в информационном сообщении о продаже муниципального имущества от </w:t>
      </w:r>
      <w:r w:rsidR="00751B7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27418">
        <w:rPr>
          <w:sz w:val="28"/>
          <w:szCs w:val="28"/>
        </w:rPr>
        <w:t xml:space="preserve"> </w:t>
      </w:r>
      <w:r w:rsidR="00751B75">
        <w:rPr>
          <w:sz w:val="28"/>
          <w:szCs w:val="28"/>
        </w:rPr>
        <w:t>сентября</w:t>
      </w:r>
      <w:r w:rsidRPr="00727418">
        <w:rPr>
          <w:sz w:val="28"/>
          <w:szCs w:val="28"/>
        </w:rPr>
        <w:t xml:space="preserve"> 202</w:t>
      </w:r>
      <w:r w:rsidR="00751B75">
        <w:rPr>
          <w:sz w:val="28"/>
          <w:szCs w:val="28"/>
        </w:rPr>
        <w:t>3</w:t>
      </w:r>
      <w:r w:rsidRPr="00727418">
        <w:rPr>
          <w:sz w:val="28"/>
          <w:szCs w:val="28"/>
        </w:rPr>
        <w:t xml:space="preserve"> г.:</w:t>
      </w:r>
      <w:proofErr w:type="gramEnd"/>
    </w:p>
    <w:p w:rsidR="00751B75" w:rsidRPr="00751B75" w:rsidRDefault="00751B75" w:rsidP="00751B75">
      <w:pPr>
        <w:widowControl w:val="0"/>
        <w:ind w:firstLine="708"/>
        <w:jc w:val="both"/>
        <w:rPr>
          <w:sz w:val="28"/>
          <w:szCs w:val="28"/>
        </w:rPr>
      </w:pPr>
      <w:r w:rsidRPr="00751B75">
        <w:rPr>
          <w:sz w:val="28"/>
          <w:szCs w:val="28"/>
        </w:rPr>
        <w:t>47200 (сорок семь тысяч двести) рублей.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Задаток возвращается участникам продажи посредством публичного предложения, в электронной форме, за исключением победителя, в течение 5 календарных дней со дня подведения ее итогов.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срок, не </w:t>
      </w:r>
      <w:proofErr w:type="gramStart"/>
      <w:r w:rsidRPr="00727418">
        <w:rPr>
          <w:sz w:val="28"/>
          <w:szCs w:val="28"/>
        </w:rPr>
        <w:t>позднее</w:t>
      </w:r>
      <w:proofErr w:type="gramEnd"/>
      <w:r w:rsidRPr="00727418">
        <w:rPr>
          <w:sz w:val="28"/>
          <w:szCs w:val="28"/>
        </w:rPr>
        <w:t xml:space="preserve"> чем 5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предложения, в электронной форме. Задаток, внесенный покупателем на счет оператора электронной торговой площадки АО «Сбербанк-АСТ» на счет, указанный в электронной ссылке http://utp.sberbank-ast.ru/AP/Notice/653/Requisites, засчитывается в оплату приобретаемого лота.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Дата начала приема заявок – </w:t>
      </w:r>
      <w:r w:rsidR="00751B75">
        <w:rPr>
          <w:sz w:val="28"/>
          <w:szCs w:val="28"/>
        </w:rPr>
        <w:t>01 ноября 2023</w:t>
      </w:r>
      <w:r w:rsidRPr="0072741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 8 часов 00 минут (по м</w:t>
      </w:r>
      <w:r w:rsidRPr="00727418">
        <w:rPr>
          <w:sz w:val="28"/>
          <w:szCs w:val="28"/>
        </w:rPr>
        <w:t>осковскому времени).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Место приема заявок: электронная торговая площадка АО «Сбербанк-АСТ», владеющего сайтом в информационно-телекоммуникационной сети «Интернет» http://www.utp.sberbank-ast.ru.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Дата окончания приема заявок – </w:t>
      </w:r>
      <w:r w:rsidR="00751B75">
        <w:rPr>
          <w:sz w:val="28"/>
          <w:szCs w:val="28"/>
        </w:rPr>
        <w:t>27 ноября</w:t>
      </w:r>
      <w:r w:rsidRPr="00727418">
        <w:rPr>
          <w:sz w:val="28"/>
          <w:szCs w:val="28"/>
        </w:rPr>
        <w:t xml:space="preserve"> 202</w:t>
      </w:r>
      <w:r w:rsidR="00751B75">
        <w:rPr>
          <w:sz w:val="28"/>
          <w:szCs w:val="28"/>
        </w:rPr>
        <w:t>3</w:t>
      </w:r>
      <w:r w:rsidRPr="00727418">
        <w:rPr>
          <w:sz w:val="28"/>
          <w:szCs w:val="28"/>
        </w:rPr>
        <w:t xml:space="preserve"> г. в 17 часов 00 минут (по </w:t>
      </w:r>
      <w:r>
        <w:rPr>
          <w:sz w:val="28"/>
          <w:szCs w:val="28"/>
        </w:rPr>
        <w:t>м</w:t>
      </w:r>
      <w:r w:rsidRPr="00727418">
        <w:rPr>
          <w:sz w:val="28"/>
          <w:szCs w:val="28"/>
        </w:rPr>
        <w:t>осковскому времени).</w:t>
      </w:r>
    </w:p>
    <w:p w:rsidR="00F94817" w:rsidRPr="00727418" w:rsidRDefault="00F94817" w:rsidP="00A2585C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Место и дата рассмотрения заявок и определения участников продажи посредством публичного предложения: электронная торговая площадка АО «Сбербанк-АСТ», владеющего сайтом в информационно-телекоммуникационной сети «Интернет» </w:t>
      </w:r>
      <w:hyperlink r:id="rId8" w:history="1">
        <w:r w:rsidRPr="00442CB8">
          <w:rPr>
            <w:rStyle w:val="a3"/>
            <w:sz w:val="28"/>
            <w:szCs w:val="28"/>
          </w:rPr>
          <w:t>http://www.utp.sberbank-ast.ru</w:t>
        </w:r>
      </w:hyperlink>
      <w:r w:rsidR="00A2585C">
        <w:rPr>
          <w:sz w:val="28"/>
          <w:szCs w:val="28"/>
        </w:rPr>
        <w:t xml:space="preserve"> -          </w:t>
      </w:r>
      <w:r>
        <w:rPr>
          <w:sz w:val="28"/>
          <w:szCs w:val="28"/>
        </w:rPr>
        <w:t>2</w:t>
      </w:r>
      <w:r w:rsidR="00751B75">
        <w:rPr>
          <w:sz w:val="28"/>
          <w:szCs w:val="28"/>
        </w:rPr>
        <w:t>9</w:t>
      </w:r>
      <w:r w:rsidRPr="00727418">
        <w:rPr>
          <w:sz w:val="28"/>
          <w:szCs w:val="28"/>
        </w:rPr>
        <w:t xml:space="preserve"> </w:t>
      </w:r>
      <w:r w:rsidR="00751B75">
        <w:rPr>
          <w:sz w:val="28"/>
          <w:szCs w:val="28"/>
        </w:rPr>
        <w:t>ноября</w:t>
      </w:r>
      <w:r w:rsidRPr="00727418">
        <w:rPr>
          <w:sz w:val="28"/>
          <w:szCs w:val="28"/>
        </w:rPr>
        <w:t xml:space="preserve"> 202</w:t>
      </w:r>
      <w:r w:rsidR="00751B75">
        <w:rPr>
          <w:sz w:val="28"/>
          <w:szCs w:val="28"/>
        </w:rPr>
        <w:t>3</w:t>
      </w:r>
      <w:r w:rsidRPr="00727418">
        <w:rPr>
          <w:sz w:val="28"/>
          <w:szCs w:val="28"/>
        </w:rPr>
        <w:t xml:space="preserve"> г., время – 1</w:t>
      </w:r>
      <w:r>
        <w:rPr>
          <w:sz w:val="28"/>
          <w:szCs w:val="28"/>
        </w:rPr>
        <w:t>3</w:t>
      </w:r>
      <w:r w:rsidRPr="00727418">
        <w:rPr>
          <w:sz w:val="28"/>
          <w:szCs w:val="28"/>
        </w:rPr>
        <w:t xml:space="preserve"> часов 00 минут (по </w:t>
      </w:r>
      <w:r>
        <w:rPr>
          <w:sz w:val="28"/>
          <w:szCs w:val="28"/>
        </w:rPr>
        <w:t>м</w:t>
      </w:r>
      <w:r w:rsidRPr="00727418">
        <w:rPr>
          <w:sz w:val="28"/>
          <w:szCs w:val="28"/>
        </w:rPr>
        <w:t>осковскому времени).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Дата и время проведения продажи посредством публичного предложения:</w:t>
      </w:r>
    </w:p>
    <w:p w:rsidR="00F94817" w:rsidRPr="00F8661F" w:rsidRDefault="00751B75" w:rsidP="00F94817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 декабря 2023</w:t>
      </w:r>
      <w:r w:rsidR="00F94817">
        <w:rPr>
          <w:sz w:val="28"/>
          <w:szCs w:val="28"/>
        </w:rPr>
        <w:t xml:space="preserve"> г., 9 часов 00 минут (по московскому времени).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Место подведения итогов продажи посредством публичного предложения: электронная </w:t>
      </w:r>
      <w:r>
        <w:rPr>
          <w:sz w:val="28"/>
          <w:szCs w:val="28"/>
        </w:rPr>
        <w:t xml:space="preserve">торговая </w:t>
      </w:r>
      <w:r w:rsidRPr="00727418">
        <w:rPr>
          <w:sz w:val="28"/>
          <w:szCs w:val="28"/>
        </w:rPr>
        <w:t>площадка АО «Сбербанк-АСТ», владеющего сайтом в информационно-телекоммуникационной сети «Интернет» http://www.utp.sberbank-ast.ru.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Собственник выставляемого на торги муниципального имущества – </w:t>
      </w:r>
      <w:r>
        <w:rPr>
          <w:sz w:val="28"/>
          <w:szCs w:val="28"/>
        </w:rPr>
        <w:t xml:space="preserve">сельское поселение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727418">
        <w:rPr>
          <w:sz w:val="28"/>
          <w:szCs w:val="28"/>
        </w:rPr>
        <w:t>.</w:t>
      </w:r>
    </w:p>
    <w:p w:rsidR="00F94817" w:rsidRPr="00F108A4" w:rsidRDefault="00F94817" w:rsidP="00F108A4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Организатор торгов (продавец) – 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района.</w:t>
      </w: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lastRenderedPageBreak/>
        <w:t>Порядок регистрации на Электронной площадке</w:t>
      </w: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для обеспечения доступа к участию в продаже посредством публичного предложения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Регистрация претендентов на электронной площадке осуществляется в соответствии с регламентами электронной площадки:</w:t>
      </w:r>
    </w:p>
    <w:p w:rsidR="00F94817" w:rsidRPr="00727418" w:rsidRDefault="006C3F95" w:rsidP="00F94817">
      <w:pPr>
        <w:ind w:firstLine="708"/>
        <w:jc w:val="both"/>
        <w:rPr>
          <w:sz w:val="28"/>
          <w:szCs w:val="28"/>
        </w:rPr>
      </w:pPr>
      <w:hyperlink r:id="rId9" w:history="1">
        <w:r w:rsidR="00F94817" w:rsidRPr="00727418">
          <w:rPr>
            <w:rStyle w:val="a3"/>
            <w:sz w:val="28"/>
            <w:szCs w:val="28"/>
          </w:rPr>
          <w:t>http://utp.sberbank-ast.ru/Main/Notice/988/Reglament</w:t>
        </w:r>
      </w:hyperlink>
      <w:r w:rsidR="00F94817" w:rsidRPr="00727418">
        <w:rPr>
          <w:sz w:val="28"/>
          <w:szCs w:val="28"/>
        </w:rPr>
        <w:t>,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  <w:u w:val="single"/>
        </w:rPr>
      </w:pPr>
      <w:r w:rsidRPr="00727418">
        <w:rPr>
          <w:sz w:val="28"/>
          <w:szCs w:val="28"/>
          <w:u w:val="single"/>
        </w:rPr>
        <w:t>http://utp.sberbank-ast.ru/AP/Notice/1027/Instructions.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>Требования, предъявляемые к Участнику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proofErr w:type="gramStart"/>
      <w:r w:rsidRPr="00727418">
        <w:rPr>
          <w:sz w:val="28"/>
          <w:szCs w:val="28"/>
        </w:rPr>
        <w:t>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участниками, своевременно подавшие заявку на участие в продаже посредством публичного предложения,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  <w:proofErr w:type="gramEnd"/>
    </w:p>
    <w:p w:rsidR="00F94817" w:rsidRPr="00727418" w:rsidRDefault="00F94817" w:rsidP="00F94817">
      <w:pPr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>Ограничение участия отдельных категорий участников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proofErr w:type="gramStart"/>
      <w:r w:rsidRPr="00727418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своевременно подавшие заявку на участие в продаже посредством публичного предложения и предоставившие все необходимые документы, а также перечислившие задаток в установленный Организатором торгов срок, за исключением: государственных и муниципальных унитарных предприятий; государственных и муниципальных учреждений;</w:t>
      </w:r>
      <w:proofErr w:type="gramEnd"/>
      <w:r w:rsidRPr="00727418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</w:t>
      </w:r>
      <w:proofErr w:type="gramStart"/>
      <w:r w:rsidRPr="00727418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>Перечень документов, предоставляемых Участником в составе заявки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lastRenderedPageBreak/>
        <w:t xml:space="preserve">Физические лица и индивидуальные предприниматели: 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Юридические лица: 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- копии учредительных документов; 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- в случае</w:t>
      </w:r>
      <w:proofErr w:type="gramStart"/>
      <w:r w:rsidRPr="00727418">
        <w:rPr>
          <w:sz w:val="28"/>
          <w:szCs w:val="28"/>
        </w:rPr>
        <w:t>,</w:t>
      </w:r>
      <w:proofErr w:type="gramEnd"/>
      <w:r w:rsidRPr="00727418">
        <w:rPr>
          <w:sz w:val="28"/>
          <w:szCs w:val="28"/>
        </w:rPr>
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27418">
        <w:rPr>
          <w:sz w:val="28"/>
          <w:szCs w:val="28"/>
        </w:rPr>
        <w:t>,</w:t>
      </w:r>
      <w:proofErr w:type="gramEnd"/>
      <w:r w:rsidRPr="00727418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- в случае</w:t>
      </w:r>
      <w:proofErr w:type="gramStart"/>
      <w:r w:rsidRPr="00727418">
        <w:rPr>
          <w:sz w:val="28"/>
          <w:szCs w:val="28"/>
        </w:rPr>
        <w:t>,</w:t>
      </w:r>
      <w:proofErr w:type="gramEnd"/>
      <w:r w:rsidRPr="00727418">
        <w:rPr>
          <w:sz w:val="28"/>
          <w:szCs w:val="28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  <w:proofErr w:type="gramStart"/>
      <w:r w:rsidRPr="00727418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</w:r>
      <w:proofErr w:type="gramEnd"/>
      <w:r w:rsidRPr="00727418">
        <w:rPr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>Требования к оформлению представляемых участниками документов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</w:t>
      </w:r>
      <w:r w:rsidRPr="00727418">
        <w:rPr>
          <w:sz w:val="28"/>
          <w:szCs w:val="28"/>
        </w:rPr>
        <w:lastRenderedPageBreak/>
        <w:t>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>Срок и порядок внесения и возврата задатка. Реквизиты счета для перечисления задатка. Назначение платежа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Перечисление задатка для участия в продаже посредством публичного предложения и возврат задатка осуществляются в соответствии с регламентом электронной площадки http://utp.sberbank-ast.ru.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Задаток перечисляется оператору электронной торговой площадки на счет, указанный в электронной ссылке http://utp.sberbank-ast.ru/AP/Notice/653/Requisites.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4298"/>
      </w:tblGrid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07B7">
              <w:rPr>
                <w:rFonts w:ascii="Cambria" w:hAnsi="Cambria"/>
                <w:b/>
                <w:bCs/>
                <w:sz w:val="28"/>
                <w:szCs w:val="28"/>
              </w:rPr>
              <w:t>Получатель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 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АО "Сбербанк-АСТ"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ИНН: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7707308480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КПП: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770401001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40702810300020038047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 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907B7">
              <w:rPr>
                <w:rFonts w:ascii="Cambria" w:hAnsi="Cambria"/>
                <w:b/>
                <w:bCs/>
                <w:sz w:val="28"/>
                <w:szCs w:val="28"/>
              </w:rPr>
              <w:t>Банк получателя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 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Наименование банка: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ПАО "СБЕРБАНК РОССИИ" Г.МОСКВА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БИК: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044525225</w:t>
            </w:r>
          </w:p>
        </w:tc>
      </w:tr>
      <w:tr w:rsidR="007907B7" w:rsidRPr="00180D9A" w:rsidTr="00373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Корреспондентский счет:</w:t>
            </w:r>
          </w:p>
        </w:tc>
        <w:tc>
          <w:tcPr>
            <w:tcW w:w="4253" w:type="dxa"/>
            <w:vAlign w:val="center"/>
            <w:hideMark/>
          </w:tcPr>
          <w:p w:rsidR="007907B7" w:rsidRPr="007907B7" w:rsidRDefault="007907B7" w:rsidP="00373A51">
            <w:pPr>
              <w:rPr>
                <w:sz w:val="28"/>
                <w:szCs w:val="28"/>
              </w:rPr>
            </w:pPr>
            <w:r w:rsidRPr="007907B7">
              <w:rPr>
                <w:sz w:val="28"/>
                <w:szCs w:val="28"/>
              </w:rPr>
              <w:t>30101810400000000225</w:t>
            </w:r>
          </w:p>
        </w:tc>
      </w:tr>
    </w:tbl>
    <w:p w:rsidR="007907B7" w:rsidRPr="00180D9A" w:rsidRDefault="007907B7" w:rsidP="007907B7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7907B7" w:rsidRDefault="007907B7" w:rsidP="007907B7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Назначение платежа – задаток для участия в электронном аукционе «дата» по лоту №</w:t>
      </w:r>
      <w:r>
        <w:rPr>
          <w:sz w:val="28"/>
          <w:szCs w:val="28"/>
        </w:rPr>
        <w:t xml:space="preserve"> 1.</w:t>
      </w:r>
    </w:p>
    <w:p w:rsidR="00751B75" w:rsidRPr="00180D9A" w:rsidRDefault="00751B75" w:rsidP="00751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условия являются условиями публичной оферты в соответствии со статьей 437 Гражданского кодекса РФ. Подача претендентом заявки и </w:t>
      </w:r>
      <w:r>
        <w:rPr>
          <w:sz w:val="28"/>
          <w:szCs w:val="28"/>
        </w:rPr>
        <w:lastRenderedPageBreak/>
        <w:t>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-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 посредством публичного предложения;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- претендентам, не допущенным к участию в продаже посредством публичного предложения, - в течение 5 (пяти) календарных дней со дня подписания протокола о признании претендентов участниками продажи посредством публичного предложения;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27418">
        <w:rPr>
          <w:sz w:val="28"/>
          <w:szCs w:val="28"/>
        </w:rPr>
        <w:t>позднее</w:t>
      </w:r>
      <w:proofErr w:type="gramEnd"/>
      <w:r w:rsidRPr="00727418">
        <w:rPr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Задаток, перечисленный победителем продажи посредством публичного предложения, засчитывается в счет оплаты приобретаемого имущества.</w:t>
      </w:r>
    </w:p>
    <w:p w:rsidR="00F94817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25592" w:rsidRDefault="00A25592" w:rsidP="00F94817">
      <w:pPr>
        <w:ind w:firstLine="708"/>
        <w:jc w:val="both"/>
        <w:rPr>
          <w:sz w:val="28"/>
          <w:szCs w:val="28"/>
        </w:rPr>
      </w:pPr>
    </w:p>
    <w:p w:rsidR="00A25592" w:rsidRDefault="00A25592" w:rsidP="00A25592">
      <w:pPr>
        <w:pStyle w:val="2"/>
        <w:spacing w:after="0" w:line="240" w:lineRule="auto"/>
        <w:ind w:right="-2" w:firstLine="567"/>
        <w:jc w:val="center"/>
        <w:rPr>
          <w:b/>
          <w:sz w:val="28"/>
          <w:szCs w:val="28"/>
        </w:rPr>
      </w:pPr>
      <w:r w:rsidRPr="00340696">
        <w:rPr>
          <w:b/>
          <w:sz w:val="28"/>
          <w:szCs w:val="28"/>
        </w:rPr>
        <w:t>Порядок ознакомления с имуществом</w:t>
      </w:r>
    </w:p>
    <w:p w:rsidR="00A25592" w:rsidRPr="00340696" w:rsidRDefault="00A25592" w:rsidP="00A25592">
      <w:pPr>
        <w:pStyle w:val="2"/>
        <w:spacing w:after="0" w:line="240" w:lineRule="auto"/>
        <w:ind w:right="-2" w:firstLine="567"/>
        <w:jc w:val="both"/>
        <w:rPr>
          <w:b/>
          <w:sz w:val="28"/>
          <w:szCs w:val="28"/>
        </w:rPr>
      </w:pPr>
    </w:p>
    <w:p w:rsidR="00A25592" w:rsidRDefault="00A25592" w:rsidP="00A25592">
      <w:pPr>
        <w:pStyle w:val="2"/>
        <w:spacing w:after="0" w:line="240" w:lineRule="auto"/>
        <w:ind w:right="-2" w:firstLine="567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</w:t>
      </w:r>
      <w:r>
        <w:rPr>
          <w:sz w:val="28"/>
          <w:szCs w:val="28"/>
          <w:lang w:val="ru-RU"/>
        </w:rPr>
        <w:t xml:space="preserve">предварительным </w:t>
      </w:r>
      <w:r>
        <w:rPr>
          <w:sz w:val="28"/>
          <w:szCs w:val="28"/>
        </w:rPr>
        <w:t xml:space="preserve">заявкам, подаваемым в администрацию </w:t>
      </w:r>
      <w:r>
        <w:rPr>
          <w:sz w:val="28"/>
          <w:szCs w:val="28"/>
          <w:lang w:val="ru-RU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 xml:space="preserve">Венцы-Заря </w:t>
      </w:r>
      <w:r>
        <w:rPr>
          <w:sz w:val="28"/>
          <w:szCs w:val="28"/>
        </w:rPr>
        <w:t>Гулькевичского района</w:t>
      </w:r>
      <w:r w:rsidRPr="004245CE">
        <w:rPr>
          <w:sz w:val="28"/>
          <w:szCs w:val="28"/>
        </w:rPr>
        <w:t xml:space="preserve"> </w:t>
      </w:r>
      <w:r w:rsidRPr="00C140FE">
        <w:rPr>
          <w:sz w:val="28"/>
          <w:szCs w:val="28"/>
        </w:rPr>
        <w:t xml:space="preserve">в рабочие дни по адресу: </w:t>
      </w:r>
      <w:r>
        <w:rPr>
          <w:sz w:val="28"/>
          <w:szCs w:val="28"/>
        </w:rPr>
        <w:t xml:space="preserve">Краснодарский край, Гулькевичский район, </w:t>
      </w:r>
      <w:proofErr w:type="spellStart"/>
      <w:r>
        <w:rPr>
          <w:sz w:val="28"/>
          <w:szCs w:val="28"/>
          <w:lang w:val="ru-RU"/>
        </w:rPr>
        <w:t>пос.Венцы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  <w:lang w:val="ru-RU"/>
        </w:rPr>
        <w:t>Советская</w:t>
      </w:r>
      <w:proofErr w:type="gramEnd"/>
      <w:r>
        <w:rPr>
          <w:sz w:val="28"/>
          <w:szCs w:val="28"/>
          <w:lang w:val="ru-RU"/>
        </w:rPr>
        <w:t>, д.6 кабинет №1</w:t>
      </w:r>
      <w:r>
        <w:rPr>
          <w:sz w:val="28"/>
          <w:szCs w:val="28"/>
        </w:rPr>
        <w:t xml:space="preserve">, а также </w:t>
      </w:r>
      <w:r w:rsidRPr="001F7F80">
        <w:rPr>
          <w:sz w:val="28"/>
          <w:szCs w:val="28"/>
        </w:rPr>
        <w:t>по телефону 8(</w:t>
      </w:r>
      <w:r>
        <w:rPr>
          <w:sz w:val="28"/>
          <w:szCs w:val="28"/>
        </w:rPr>
        <w:t>8616</w:t>
      </w:r>
      <w:r>
        <w:rPr>
          <w:sz w:val="28"/>
          <w:szCs w:val="28"/>
          <w:lang w:val="ru-RU"/>
        </w:rPr>
        <w:t>0)3-16-70</w:t>
      </w:r>
      <w:r>
        <w:rPr>
          <w:sz w:val="28"/>
          <w:szCs w:val="28"/>
        </w:rPr>
        <w:t>,</w:t>
      </w:r>
      <w:r>
        <w:rPr>
          <w:sz w:val="28"/>
          <w:szCs w:val="18"/>
          <w:shd w:val="clear" w:color="auto" w:fill="FFFFFF"/>
        </w:rPr>
        <w:t xml:space="preserve"> не позднее, чем за </w:t>
      </w:r>
      <w:r>
        <w:rPr>
          <w:sz w:val="28"/>
          <w:szCs w:val="18"/>
          <w:shd w:val="clear" w:color="auto" w:fill="FFFFFF"/>
          <w:lang w:val="ru-RU"/>
        </w:rPr>
        <w:t>1</w:t>
      </w:r>
      <w:r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  <w:lang w:val="ru-RU"/>
        </w:rPr>
        <w:t>день</w:t>
      </w:r>
      <w:r>
        <w:rPr>
          <w:sz w:val="28"/>
          <w:szCs w:val="18"/>
          <w:shd w:val="clear" w:color="auto" w:fill="FFFFFF"/>
        </w:rPr>
        <w:t xml:space="preserve"> до осмотра.</w:t>
      </w:r>
    </w:p>
    <w:p w:rsidR="00F94817" w:rsidRPr="00727418" w:rsidRDefault="00F94817" w:rsidP="00A25592">
      <w:pPr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>Правила проведения продажи в электронной форме</w:t>
      </w:r>
    </w:p>
    <w:p w:rsidR="00F94817" w:rsidRPr="00727418" w:rsidRDefault="00F94817" w:rsidP="00F94817">
      <w:pPr>
        <w:ind w:firstLine="708"/>
        <w:jc w:val="center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727418">
        <w:rPr>
          <w:sz w:val="28"/>
          <w:szCs w:val="28"/>
        </w:rPr>
        <w:t>который</w:t>
      </w:r>
      <w:proofErr w:type="gramEnd"/>
      <w:r w:rsidRPr="00727418">
        <w:rPr>
          <w:sz w:val="28"/>
          <w:szCs w:val="28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от других участников продажи посредством публичного предложения.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В случае</w:t>
      </w:r>
      <w:proofErr w:type="gramStart"/>
      <w:r w:rsidRPr="00727418">
        <w:rPr>
          <w:sz w:val="28"/>
          <w:szCs w:val="28"/>
        </w:rPr>
        <w:t>,</w:t>
      </w:r>
      <w:proofErr w:type="gramEnd"/>
      <w:r w:rsidRPr="00727418">
        <w:rPr>
          <w:sz w:val="28"/>
          <w:szCs w:val="28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</w:t>
      </w:r>
      <w:r w:rsidRPr="00727418">
        <w:rPr>
          <w:sz w:val="28"/>
          <w:szCs w:val="28"/>
        </w:rPr>
        <w:lastRenderedPageBreak/>
        <w:t xml:space="preserve">предложения, сложившуюся на одном из «шагов понижения», со всеми участниками продажи посредством публичного предложения проводится аукцион по установленным в соответствии с действующим законодательством правилам проведения аукциона, предусматривающим открытую форму подачи предложений о цене имущества. 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Начальной ценой муниципального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Шаг аукциона – 50% от «шага понижения». </w:t>
      </w:r>
      <w:proofErr w:type="gramStart"/>
      <w:r w:rsidRPr="00727418">
        <w:rPr>
          <w:sz w:val="28"/>
          <w:szCs w:val="28"/>
        </w:rPr>
        <w:t>Начальная</w:t>
      </w:r>
      <w:proofErr w:type="gramEnd"/>
      <w:r w:rsidRPr="00727418">
        <w:rPr>
          <w:sz w:val="28"/>
          <w:szCs w:val="28"/>
        </w:rPr>
        <w:t xml:space="preserve"> и последующие цены имущества увеличиваются путем увеличения текущей цены на шаг аукциона в фиксированной сумме, не изменяющейся в течение всего аукциона.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В случае</w:t>
      </w:r>
      <w:proofErr w:type="gramStart"/>
      <w:r w:rsidRPr="00727418">
        <w:rPr>
          <w:sz w:val="28"/>
          <w:szCs w:val="28"/>
        </w:rPr>
        <w:t>,</w:t>
      </w:r>
      <w:proofErr w:type="gramEnd"/>
      <w:r w:rsidRPr="00727418">
        <w:rPr>
          <w:sz w:val="28"/>
          <w:szCs w:val="28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Продажа посредством публичного предложения, в которой </w:t>
      </w:r>
      <w:proofErr w:type="gramStart"/>
      <w:r w:rsidRPr="00727418">
        <w:rPr>
          <w:sz w:val="28"/>
          <w:szCs w:val="28"/>
        </w:rPr>
        <w:t>принял участие только один участник признается</w:t>
      </w:r>
      <w:proofErr w:type="gramEnd"/>
      <w:r w:rsidRPr="00727418">
        <w:rPr>
          <w:sz w:val="28"/>
          <w:szCs w:val="28"/>
        </w:rPr>
        <w:t xml:space="preserve"> несостоявшейся.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Решение о признании продажи посредством публичного предложения несостоявшейся оформляется протоколом об итогах такой продажи.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>Срок подписания договора по итогам продажи</w:t>
      </w:r>
    </w:p>
    <w:p w:rsidR="00F94817" w:rsidRPr="00727418" w:rsidRDefault="00F94817" w:rsidP="00F94817">
      <w:pPr>
        <w:ind w:firstLine="708"/>
        <w:jc w:val="center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В течение 5 рабочих дней со дня подведения итогов продажи посредством публичного предложения с победителем заключается договор купли-продажи имущества в простой письменной форме.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муниципального имущества по итогам торгов (приложение № 3) задаток ему не </w:t>
      </w:r>
      <w:proofErr w:type="gramStart"/>
      <w:r w:rsidRPr="00727418">
        <w:rPr>
          <w:sz w:val="28"/>
          <w:szCs w:val="28"/>
        </w:rPr>
        <w:t>возвращается</w:t>
      </w:r>
      <w:proofErr w:type="gramEnd"/>
      <w:r w:rsidRPr="00727418">
        <w:rPr>
          <w:sz w:val="28"/>
          <w:szCs w:val="28"/>
        </w:rPr>
        <w:t xml:space="preserve"> и он утрачивает право на заключение указанного договора. Результаты продажи посредством публичного предложения аннулируются продавцом.</w:t>
      </w:r>
    </w:p>
    <w:p w:rsidR="00F94817" w:rsidRPr="00727418" w:rsidRDefault="00F94817" w:rsidP="00F94817">
      <w:pPr>
        <w:ind w:firstLine="708"/>
        <w:jc w:val="center"/>
        <w:rPr>
          <w:b/>
          <w:sz w:val="28"/>
          <w:szCs w:val="28"/>
        </w:rPr>
      </w:pPr>
      <w:r w:rsidRPr="00727418">
        <w:rPr>
          <w:b/>
          <w:sz w:val="28"/>
          <w:szCs w:val="28"/>
        </w:rPr>
        <w:t>Порядок ознакомления с иной информацией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727418">
        <w:rPr>
          <w:sz w:val="28"/>
          <w:szCs w:val="28"/>
        </w:rPr>
        <w:t>С иными сведениями о выставляемом на торги имуществе претенденты могут ознакомиться в рабочие дни с 8 часов 00 минут до 12 часов 00 минут и с 13 часов 00 минут до 1</w:t>
      </w:r>
      <w:r>
        <w:rPr>
          <w:sz w:val="28"/>
          <w:szCs w:val="28"/>
        </w:rPr>
        <w:t>6</w:t>
      </w:r>
      <w:r w:rsidRPr="00727418">
        <w:rPr>
          <w:sz w:val="28"/>
          <w:szCs w:val="28"/>
        </w:rPr>
        <w:t xml:space="preserve"> часов 00 минут по московскому времени по адресу: Краснодарский край, Гулькевичский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енцы</w:t>
      </w:r>
      <w:proofErr w:type="spellEnd"/>
      <w:r w:rsidRPr="00727418">
        <w:rPr>
          <w:sz w:val="28"/>
          <w:szCs w:val="28"/>
        </w:rPr>
        <w:t xml:space="preserve">, ул. Советская, </w:t>
      </w:r>
      <w:r>
        <w:rPr>
          <w:sz w:val="28"/>
          <w:szCs w:val="28"/>
        </w:rPr>
        <w:t>6</w:t>
      </w:r>
      <w:r w:rsidRPr="00727418">
        <w:rPr>
          <w:sz w:val="28"/>
          <w:szCs w:val="28"/>
        </w:rPr>
        <w:t xml:space="preserve">, кабинет № </w:t>
      </w:r>
      <w:r>
        <w:rPr>
          <w:sz w:val="28"/>
          <w:szCs w:val="28"/>
        </w:rPr>
        <w:t>8</w:t>
      </w:r>
      <w:r w:rsidRPr="00727418">
        <w:rPr>
          <w:sz w:val="28"/>
          <w:szCs w:val="28"/>
        </w:rPr>
        <w:t xml:space="preserve">, контактный телефон: 8 (86160) </w:t>
      </w:r>
      <w:r>
        <w:rPr>
          <w:sz w:val="28"/>
          <w:szCs w:val="28"/>
        </w:rPr>
        <w:t>31</w:t>
      </w:r>
      <w:r w:rsidR="00A2585C">
        <w:rPr>
          <w:sz w:val="28"/>
          <w:szCs w:val="28"/>
        </w:rPr>
        <w:t>670</w:t>
      </w:r>
      <w:r w:rsidRPr="00727418">
        <w:rPr>
          <w:sz w:val="28"/>
          <w:szCs w:val="28"/>
        </w:rPr>
        <w:t xml:space="preserve">, а так же на официальном сайте торгов www.torgi.gov.ru, электронной торговой площадке АО «Сбербанк-АСТ» http://www.utp.sberbank-ast.ru, официальном сайте </w:t>
      </w:r>
      <w:r>
        <w:rPr>
          <w:sz w:val="28"/>
          <w:szCs w:val="28"/>
        </w:rPr>
        <w:t xml:space="preserve">сельского поселения Венцы-Заря Гулькевичского района </w:t>
      </w:r>
      <w:r w:rsidRPr="001F62A2">
        <w:rPr>
          <w:sz w:val="28"/>
          <w:szCs w:val="28"/>
        </w:rPr>
        <w:t>https://vency-zarya.ru/.</w:t>
      </w:r>
    </w:p>
    <w:p w:rsidR="00F94817" w:rsidRPr="00727418" w:rsidRDefault="00F94817" w:rsidP="00F94817">
      <w:pPr>
        <w:ind w:firstLine="708"/>
        <w:jc w:val="both"/>
        <w:rPr>
          <w:sz w:val="28"/>
          <w:szCs w:val="28"/>
        </w:rPr>
      </w:pPr>
      <w:r w:rsidRPr="005520C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имущество</w:t>
      </w:r>
      <w:r w:rsidRPr="005520CF">
        <w:rPr>
          <w:sz w:val="28"/>
          <w:szCs w:val="28"/>
        </w:rPr>
        <w:t xml:space="preserve"> в течение предыдущего </w:t>
      </w:r>
      <w:r>
        <w:rPr>
          <w:sz w:val="28"/>
          <w:szCs w:val="28"/>
        </w:rPr>
        <w:t xml:space="preserve">и текущего </w:t>
      </w:r>
      <w:r w:rsidRPr="005520CF">
        <w:rPr>
          <w:sz w:val="28"/>
          <w:szCs w:val="28"/>
        </w:rPr>
        <w:t>года выставлялось на торги, однако из-за отсутствия поданных заявок торги были признаны не состоявшимися</w:t>
      </w:r>
      <w:r>
        <w:rPr>
          <w:sz w:val="28"/>
          <w:szCs w:val="28"/>
        </w:rPr>
        <w:t>.</w:t>
      </w:r>
      <w:r w:rsidRPr="005520CF">
        <w:rPr>
          <w:sz w:val="28"/>
          <w:szCs w:val="28"/>
        </w:rPr>
        <w:t xml:space="preserve"> </w:t>
      </w:r>
    </w:p>
    <w:p w:rsidR="00A405CA" w:rsidRDefault="00A405CA"/>
    <w:sectPr w:rsidR="00A405CA" w:rsidSect="00F108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95" w:rsidRDefault="006C3F95" w:rsidP="00F108A4">
      <w:r>
        <w:separator/>
      </w:r>
    </w:p>
  </w:endnote>
  <w:endnote w:type="continuationSeparator" w:id="0">
    <w:p w:rsidR="006C3F95" w:rsidRDefault="006C3F95" w:rsidP="00F1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95" w:rsidRDefault="006C3F95" w:rsidP="00F108A4">
      <w:r>
        <w:separator/>
      </w:r>
    </w:p>
  </w:footnote>
  <w:footnote w:type="continuationSeparator" w:id="0">
    <w:p w:rsidR="006C3F95" w:rsidRDefault="006C3F95" w:rsidP="00F1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51573"/>
      <w:docPartObj>
        <w:docPartGallery w:val="Page Numbers (Top of Page)"/>
        <w:docPartUnique/>
      </w:docPartObj>
    </w:sdtPr>
    <w:sdtEndPr/>
    <w:sdtContent>
      <w:p w:rsidR="00F108A4" w:rsidRDefault="00F10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59">
          <w:rPr>
            <w:noProof/>
          </w:rPr>
          <w:t>2</w:t>
        </w:r>
        <w:r>
          <w:fldChar w:fldCharType="end"/>
        </w:r>
      </w:p>
    </w:sdtContent>
  </w:sdt>
  <w:p w:rsidR="00F108A4" w:rsidRDefault="00F108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17"/>
    <w:rsid w:val="00176306"/>
    <w:rsid w:val="001F1024"/>
    <w:rsid w:val="00491D59"/>
    <w:rsid w:val="006351E2"/>
    <w:rsid w:val="006C3F95"/>
    <w:rsid w:val="00751B75"/>
    <w:rsid w:val="007907B7"/>
    <w:rsid w:val="00A25592"/>
    <w:rsid w:val="00A2585C"/>
    <w:rsid w:val="00A405CA"/>
    <w:rsid w:val="00B42D23"/>
    <w:rsid w:val="00F108A4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817"/>
    <w:rPr>
      <w:color w:val="000000"/>
      <w:u w:val="single"/>
    </w:rPr>
  </w:style>
  <w:style w:type="paragraph" w:styleId="2">
    <w:name w:val="Body Text 2"/>
    <w:basedOn w:val="a"/>
    <w:link w:val="20"/>
    <w:rsid w:val="00A2559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55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F108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8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817"/>
    <w:rPr>
      <w:color w:val="000000"/>
      <w:u w:val="single"/>
    </w:rPr>
  </w:style>
  <w:style w:type="paragraph" w:styleId="2">
    <w:name w:val="Body Text 2"/>
    <w:basedOn w:val="a"/>
    <w:link w:val="20"/>
    <w:rsid w:val="00A2559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55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F108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8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8BFF-F038-4788-89BE-E23A100F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cp:lastPrinted>2023-10-31T12:05:00Z</cp:lastPrinted>
  <dcterms:created xsi:type="dcterms:W3CDTF">2023-10-31T10:59:00Z</dcterms:created>
  <dcterms:modified xsi:type="dcterms:W3CDTF">2023-10-31T13:28:00Z</dcterms:modified>
</cp:coreProperties>
</file>